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B18A7">
      <w:pPr>
        <w:pStyle w:val="2"/>
        <w:pageBreakBefore w:val="0"/>
        <w:kinsoku/>
        <w:wordWrap/>
        <w:overflowPunct/>
        <w:topLinePunct w:val="0"/>
        <w:autoSpaceDE/>
        <w:autoSpaceDN/>
        <w:bidi w:val="0"/>
        <w:spacing w:before="0" w:after="0" w:line="360" w:lineRule="auto"/>
        <w:jc w:val="center"/>
        <w:rPr>
          <w:rFonts w:hint="eastAsia" w:ascii="宋体" w:hAnsi="宋体" w:eastAsia="宋体" w:cs="宋体"/>
          <w:b/>
          <w:bCs/>
          <w:sz w:val="32"/>
          <w:szCs w:val="32"/>
          <w:lang w:eastAsia="zh-CN"/>
        </w:rPr>
      </w:pPr>
      <w:bookmarkStart w:id="0" w:name="_Toc517447495"/>
      <w:r>
        <w:rPr>
          <w:rFonts w:hint="eastAsia" w:ascii="宋体" w:hAnsi="宋体" w:eastAsia="宋体" w:cs="宋体"/>
          <w:b/>
          <w:bCs/>
          <w:sz w:val="36"/>
          <w:szCs w:val="36"/>
        </w:rPr>
        <w:t xml:space="preserve">第八章 </w:t>
      </w:r>
      <w:bookmarkEnd w:id="0"/>
      <w:r>
        <w:rPr>
          <w:rFonts w:hint="eastAsia" w:ascii="宋体" w:hAnsi="宋体" w:eastAsia="宋体" w:cs="宋体"/>
          <w:b/>
          <w:bCs/>
          <w:sz w:val="32"/>
          <w:szCs w:val="32"/>
        </w:rPr>
        <w:t>采购合同</w:t>
      </w: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合同模板</w:t>
      </w:r>
      <w:r>
        <w:rPr>
          <w:rFonts w:hint="eastAsia" w:ascii="宋体" w:hAnsi="宋体" w:eastAsia="宋体" w:cs="宋体"/>
          <w:b/>
          <w:bCs/>
          <w:sz w:val="32"/>
          <w:szCs w:val="32"/>
          <w:lang w:eastAsia="zh-CN"/>
        </w:rPr>
        <w:t>）</w:t>
      </w:r>
    </w:p>
    <w:p w14:paraId="7FBAF363">
      <w:pPr>
        <w:spacing w:line="360" w:lineRule="auto"/>
        <w:jc w:val="center"/>
        <w:rPr>
          <w:rFonts w:hint="eastAsia" w:ascii="宋体" w:hAnsi="宋体" w:eastAsia="宋体" w:cs="Times New Roman"/>
          <w:b/>
          <w:bCs/>
          <w:color w:val="000000"/>
          <w:sz w:val="52"/>
          <w:szCs w:val="52"/>
          <w:highlight w:val="none"/>
        </w:rPr>
      </w:pPr>
      <w:bookmarkStart w:id="1" w:name="_Hlt101846155"/>
      <w:bookmarkEnd w:id="1"/>
      <w:bookmarkStart w:id="2" w:name="_Toc350864527"/>
      <w:bookmarkStart w:id="3" w:name="_Toc349810624"/>
      <w:r>
        <w:rPr>
          <w:rFonts w:hint="eastAsia" w:ascii="宋体" w:hAnsi="宋体" w:eastAsia="宋体" w:cs="Times New Roman"/>
          <w:b/>
          <w:bCs/>
          <w:color w:val="000000"/>
          <w:sz w:val="52"/>
          <w:szCs w:val="52"/>
          <w:highlight w:val="none"/>
        </w:rPr>
        <w:t>建设工程施工图设计文件</w:t>
      </w:r>
    </w:p>
    <w:p w14:paraId="2520358C">
      <w:pPr>
        <w:spacing w:line="360" w:lineRule="auto"/>
        <w:jc w:val="center"/>
        <w:rPr>
          <w:rFonts w:hint="eastAsia" w:ascii="宋体" w:hAnsi="宋体" w:eastAsia="宋体" w:cs="Times New Roman"/>
          <w:b/>
          <w:bCs/>
          <w:color w:val="000000"/>
          <w:sz w:val="52"/>
          <w:szCs w:val="52"/>
          <w:highlight w:val="none"/>
        </w:rPr>
      </w:pPr>
      <w:r>
        <w:rPr>
          <w:rFonts w:hint="eastAsia" w:ascii="宋体" w:hAnsi="宋体" w:eastAsia="宋体" w:cs="Times New Roman"/>
          <w:b/>
          <w:bCs/>
          <w:color w:val="000000"/>
          <w:sz w:val="52"/>
          <w:szCs w:val="52"/>
          <w:highlight w:val="none"/>
        </w:rPr>
        <w:t>技术审查合同</w:t>
      </w:r>
    </w:p>
    <w:p w14:paraId="3263C1AC">
      <w:pPr>
        <w:spacing w:line="360" w:lineRule="auto"/>
        <w:ind w:firstLine="4160" w:firstLineChars="1300"/>
        <w:jc w:val="both"/>
        <w:rPr>
          <w:rFonts w:hint="eastAsia" w:ascii="宋体" w:hAnsi="宋体" w:eastAsia="宋体" w:cs="Times New Roman"/>
          <w:color w:val="000000"/>
          <w:sz w:val="32"/>
          <w:szCs w:val="16"/>
          <w:highlight w:val="none"/>
          <w:lang w:val="en-US" w:eastAsia="zh-CN"/>
        </w:rPr>
      </w:pPr>
      <w:r>
        <w:rPr>
          <w:rFonts w:hint="eastAsia" w:ascii="宋体" w:hAnsi="宋体" w:eastAsia="宋体" w:cs="Times New Roman"/>
          <w:color w:val="000000"/>
          <w:sz w:val="32"/>
          <w:szCs w:val="16"/>
          <w:highlight w:val="none"/>
          <w:lang w:val="en-US" w:eastAsia="zh-CN"/>
        </w:rPr>
        <w:t xml:space="preserve">合同编号：             </w:t>
      </w:r>
    </w:p>
    <w:p w14:paraId="6B445E8F">
      <w:pPr>
        <w:spacing w:line="360" w:lineRule="auto"/>
        <w:ind w:firstLine="4160" w:firstLineChars="1300"/>
        <w:jc w:val="both"/>
        <w:rPr>
          <w:rFonts w:hint="eastAsia" w:ascii="宋体" w:hAnsi="宋体" w:eastAsia="宋体" w:cs="Times New Roman"/>
          <w:color w:val="000000"/>
          <w:sz w:val="32"/>
          <w:szCs w:val="16"/>
          <w:highlight w:val="none"/>
          <w:lang w:val="en-US" w:eastAsia="zh-CN"/>
        </w:rPr>
      </w:pPr>
    </w:p>
    <w:p w14:paraId="50F23144">
      <w:pPr>
        <w:spacing w:line="360" w:lineRule="auto"/>
        <w:jc w:val="left"/>
        <w:rPr>
          <w:rFonts w:hint="eastAsia" w:ascii="宋体" w:hAnsi="宋体" w:cs="Times New Roman"/>
          <w:color w:val="000000"/>
          <w:sz w:val="32"/>
          <w:szCs w:val="16"/>
          <w:highlight w:val="none"/>
          <w:lang w:val="en-US" w:eastAsia="zh-CN"/>
        </w:rPr>
      </w:pPr>
      <w:r>
        <w:rPr>
          <w:rFonts w:hint="eastAsia" w:ascii="宋体" w:hAnsi="宋体" w:eastAsia="宋体" w:cs="Times New Roman"/>
          <w:color w:val="000000"/>
          <w:sz w:val="32"/>
          <w:szCs w:val="16"/>
          <w:highlight w:val="none"/>
          <w:lang w:val="en-US" w:eastAsia="zh-CN"/>
        </w:rPr>
        <w:t>工程名称：</w:t>
      </w:r>
      <w:r>
        <w:rPr>
          <w:rFonts w:hint="eastAsia" w:ascii="宋体" w:hAnsi="宋体" w:cs="Times New Roman"/>
          <w:color w:val="000000"/>
          <w:sz w:val="32"/>
          <w:szCs w:val="16"/>
          <w:highlight w:val="none"/>
          <w:lang w:val="en-US" w:eastAsia="zh-CN"/>
        </w:rPr>
        <w:t xml:space="preserve"> 广汉市航天航空科技孵化产业园一楼档案室</w:t>
      </w:r>
    </w:p>
    <w:p w14:paraId="79772696">
      <w:pPr>
        <w:spacing w:line="360" w:lineRule="auto"/>
        <w:ind w:firstLine="640" w:firstLineChars="200"/>
        <w:jc w:val="left"/>
        <w:rPr>
          <w:rFonts w:hint="eastAsia" w:ascii="宋体" w:hAnsi="宋体" w:eastAsia="宋体" w:cs="Times New Roman"/>
          <w:color w:val="000000"/>
          <w:sz w:val="32"/>
          <w:szCs w:val="16"/>
          <w:highlight w:val="none"/>
          <w:lang w:val="en-US" w:eastAsia="zh-CN"/>
        </w:rPr>
      </w:pPr>
      <w:r>
        <w:rPr>
          <w:rFonts w:hint="eastAsia" w:ascii="宋体" w:hAnsi="宋体" w:eastAsia="宋体" w:cs="Times New Roman"/>
          <w:color w:val="000000"/>
          <w:sz w:val="32"/>
          <w:szCs w:val="16"/>
          <w:highlight w:val="none"/>
          <w:lang w:val="en-US" w:eastAsia="zh-CN"/>
        </w:rPr>
        <w:t xml:space="preserve">      </w:t>
      </w:r>
      <w:r>
        <w:rPr>
          <w:rFonts w:hint="eastAsia" w:ascii="宋体" w:hAnsi="宋体" w:cs="Times New Roman"/>
          <w:color w:val="000000"/>
          <w:sz w:val="32"/>
          <w:szCs w:val="16"/>
          <w:highlight w:val="none"/>
          <w:lang w:val="en-US" w:eastAsia="zh-CN"/>
        </w:rPr>
        <w:t xml:space="preserve"> 智能化建设项目</w:t>
      </w:r>
    </w:p>
    <w:p w14:paraId="623F9C7D">
      <w:pPr>
        <w:spacing w:line="360" w:lineRule="auto"/>
        <w:ind w:firstLine="4160" w:firstLineChars="1300"/>
        <w:jc w:val="both"/>
        <w:rPr>
          <w:rFonts w:hint="eastAsia" w:ascii="宋体" w:hAnsi="宋体" w:eastAsia="宋体" w:cs="Times New Roman"/>
          <w:color w:val="000000"/>
          <w:sz w:val="32"/>
          <w:szCs w:val="16"/>
          <w:highlight w:val="none"/>
          <w:lang w:val="en-US" w:eastAsia="zh-CN"/>
        </w:rPr>
      </w:pPr>
    </w:p>
    <w:p w14:paraId="35771126">
      <w:pPr>
        <w:spacing w:line="360" w:lineRule="auto"/>
        <w:jc w:val="left"/>
        <w:rPr>
          <w:rFonts w:hint="eastAsia" w:ascii="宋体" w:hAnsi="宋体" w:eastAsia="宋体" w:cs="Times New Roman"/>
          <w:color w:val="000000"/>
          <w:sz w:val="32"/>
          <w:szCs w:val="16"/>
          <w:highlight w:val="none"/>
          <w:lang w:val="en-US" w:eastAsia="zh-CN"/>
        </w:rPr>
      </w:pPr>
      <w:r>
        <w:rPr>
          <w:rFonts w:hint="eastAsia" w:ascii="宋体" w:hAnsi="宋体" w:eastAsia="宋体" w:cs="Times New Roman"/>
          <w:color w:val="000000"/>
          <w:sz w:val="32"/>
          <w:szCs w:val="16"/>
          <w:highlight w:val="none"/>
          <w:lang w:val="en-US" w:eastAsia="zh-CN"/>
        </w:rPr>
        <w:t xml:space="preserve">工程地点： 广汉市                                 </w:t>
      </w:r>
    </w:p>
    <w:p w14:paraId="2DBD6BA7">
      <w:pPr>
        <w:spacing w:line="360" w:lineRule="auto"/>
        <w:ind w:firstLine="4160" w:firstLineChars="1300"/>
        <w:jc w:val="both"/>
        <w:rPr>
          <w:rFonts w:hint="eastAsia" w:ascii="宋体" w:hAnsi="宋体" w:eastAsia="宋体" w:cs="Times New Roman"/>
          <w:color w:val="000000"/>
          <w:sz w:val="32"/>
          <w:szCs w:val="16"/>
          <w:highlight w:val="none"/>
          <w:lang w:val="en-US" w:eastAsia="zh-CN"/>
        </w:rPr>
      </w:pPr>
    </w:p>
    <w:p w14:paraId="4A598046">
      <w:pPr>
        <w:spacing w:line="360" w:lineRule="auto"/>
        <w:jc w:val="both"/>
        <w:rPr>
          <w:rFonts w:hint="eastAsia" w:ascii="宋体" w:hAnsi="宋体" w:eastAsia="宋体" w:cs="Times New Roman"/>
          <w:color w:val="000000"/>
          <w:sz w:val="32"/>
          <w:szCs w:val="16"/>
          <w:highlight w:val="none"/>
          <w:lang w:val="en-US" w:eastAsia="zh-CN"/>
        </w:rPr>
      </w:pPr>
      <w:r>
        <w:rPr>
          <w:rFonts w:hint="eastAsia" w:ascii="宋体" w:hAnsi="宋体" w:eastAsia="宋体" w:cs="Times New Roman"/>
          <w:color w:val="000000"/>
          <w:sz w:val="32"/>
          <w:szCs w:val="16"/>
          <w:highlight w:val="none"/>
          <w:lang w:val="en-US" w:eastAsia="zh-CN"/>
        </w:rPr>
        <w:t xml:space="preserve">合同编号：                                        </w:t>
      </w:r>
    </w:p>
    <w:p w14:paraId="12E1CE86">
      <w:pPr>
        <w:spacing w:line="360" w:lineRule="auto"/>
        <w:ind w:firstLine="4160" w:firstLineChars="1300"/>
        <w:jc w:val="both"/>
        <w:rPr>
          <w:rFonts w:hint="eastAsia" w:ascii="宋体" w:hAnsi="宋体" w:eastAsia="宋体" w:cs="Times New Roman"/>
          <w:color w:val="000000"/>
          <w:sz w:val="32"/>
          <w:szCs w:val="16"/>
          <w:highlight w:val="none"/>
          <w:lang w:val="en-US" w:eastAsia="zh-CN"/>
        </w:rPr>
      </w:pPr>
    </w:p>
    <w:p w14:paraId="6ED66184">
      <w:pPr>
        <w:spacing w:line="360" w:lineRule="auto"/>
        <w:jc w:val="both"/>
        <w:rPr>
          <w:rFonts w:hint="eastAsia" w:ascii="宋体" w:hAnsi="宋体" w:eastAsia="宋体" w:cs="Times New Roman"/>
          <w:color w:val="000000"/>
          <w:sz w:val="32"/>
          <w:szCs w:val="16"/>
          <w:highlight w:val="none"/>
          <w:lang w:val="en-US" w:eastAsia="zh-CN"/>
        </w:rPr>
      </w:pPr>
      <w:r>
        <w:rPr>
          <w:rFonts w:hint="eastAsia" w:ascii="宋体" w:hAnsi="宋体" w:eastAsia="宋体" w:cs="Times New Roman"/>
          <w:color w:val="000000"/>
          <w:sz w:val="32"/>
          <w:szCs w:val="16"/>
          <w:highlight w:val="none"/>
          <w:lang w:val="en-US" w:eastAsia="zh-CN"/>
        </w:rPr>
        <w:t xml:space="preserve">委 托 人： </w:t>
      </w:r>
      <w:r>
        <w:rPr>
          <w:rFonts w:hint="eastAsia" w:ascii="宋体" w:hAnsi="宋体" w:cs="Times New Roman"/>
          <w:color w:val="000000"/>
          <w:sz w:val="32"/>
          <w:szCs w:val="16"/>
          <w:highlight w:val="none"/>
          <w:lang w:val="en-US" w:eastAsia="zh-CN"/>
        </w:rPr>
        <w:t>广汉发展控股投资集团有限责任公司</w:t>
      </w:r>
      <w:r>
        <w:rPr>
          <w:rFonts w:hint="eastAsia" w:ascii="宋体" w:hAnsi="宋体" w:eastAsia="宋体" w:cs="Times New Roman"/>
          <w:color w:val="000000"/>
          <w:sz w:val="32"/>
          <w:szCs w:val="16"/>
          <w:highlight w:val="none"/>
          <w:lang w:val="en-US" w:eastAsia="zh-CN"/>
        </w:rPr>
        <w:t xml:space="preserve">           </w:t>
      </w:r>
    </w:p>
    <w:p w14:paraId="05ADBF49">
      <w:pPr>
        <w:spacing w:line="360" w:lineRule="auto"/>
        <w:ind w:firstLine="4160" w:firstLineChars="1300"/>
        <w:jc w:val="both"/>
        <w:rPr>
          <w:rFonts w:hint="eastAsia" w:ascii="宋体" w:hAnsi="宋体" w:eastAsia="宋体" w:cs="Times New Roman"/>
          <w:color w:val="000000"/>
          <w:sz w:val="32"/>
          <w:szCs w:val="16"/>
          <w:highlight w:val="none"/>
          <w:lang w:val="en-US" w:eastAsia="zh-CN"/>
        </w:rPr>
      </w:pPr>
    </w:p>
    <w:p w14:paraId="3C870F93">
      <w:pPr>
        <w:spacing w:line="360" w:lineRule="auto"/>
        <w:jc w:val="both"/>
        <w:rPr>
          <w:rFonts w:hint="eastAsia" w:ascii="宋体" w:hAnsi="宋体" w:eastAsia="宋体" w:cs="Times New Roman"/>
          <w:color w:val="000000"/>
          <w:sz w:val="32"/>
          <w:szCs w:val="16"/>
          <w:highlight w:val="none"/>
          <w:lang w:val="en-US" w:eastAsia="zh-CN"/>
        </w:rPr>
      </w:pPr>
      <w:r>
        <w:rPr>
          <w:rFonts w:hint="eastAsia" w:ascii="宋体" w:hAnsi="宋体" w:eastAsia="宋体" w:cs="Times New Roman"/>
          <w:color w:val="000000"/>
          <w:sz w:val="32"/>
          <w:szCs w:val="16"/>
          <w:highlight w:val="none"/>
          <w:lang w:val="en-US" w:eastAsia="zh-CN"/>
        </w:rPr>
        <w:t xml:space="preserve">审 查 人：                                        </w:t>
      </w:r>
    </w:p>
    <w:p w14:paraId="1D39D437">
      <w:pPr>
        <w:spacing w:line="360" w:lineRule="auto"/>
        <w:ind w:firstLine="4160" w:firstLineChars="1300"/>
        <w:jc w:val="both"/>
        <w:rPr>
          <w:rFonts w:hint="eastAsia" w:ascii="宋体" w:hAnsi="宋体" w:eastAsia="宋体" w:cs="Times New Roman"/>
          <w:color w:val="000000"/>
          <w:sz w:val="32"/>
          <w:szCs w:val="16"/>
          <w:highlight w:val="none"/>
          <w:lang w:val="en-US" w:eastAsia="zh-CN"/>
        </w:rPr>
      </w:pPr>
      <w:r>
        <w:rPr>
          <w:rFonts w:hint="eastAsia" w:ascii="宋体" w:hAnsi="宋体" w:eastAsia="宋体" w:cs="Times New Roman"/>
          <w:color w:val="000000"/>
          <w:sz w:val="32"/>
          <w:szCs w:val="16"/>
          <w:highlight w:val="none"/>
          <w:lang w:val="en-US" w:eastAsia="zh-CN"/>
        </w:rPr>
        <w:t xml:space="preserve"> </w:t>
      </w:r>
    </w:p>
    <w:p w14:paraId="01E4571C">
      <w:pPr>
        <w:spacing w:line="360" w:lineRule="auto"/>
        <w:jc w:val="both"/>
        <w:rPr>
          <w:rFonts w:hint="eastAsia" w:ascii="宋体" w:hAnsi="宋体" w:eastAsia="宋体" w:cs="Times New Roman"/>
          <w:b/>
          <w:bCs/>
          <w:color w:val="000000"/>
          <w:sz w:val="52"/>
          <w:szCs w:val="52"/>
          <w:highlight w:val="none"/>
        </w:rPr>
      </w:pPr>
      <w:r>
        <w:rPr>
          <w:rFonts w:hint="eastAsia" w:ascii="宋体" w:hAnsi="宋体" w:eastAsia="宋体" w:cs="Times New Roman"/>
          <w:color w:val="000000"/>
          <w:sz w:val="32"/>
          <w:szCs w:val="16"/>
          <w:highlight w:val="none"/>
          <w:lang w:val="en-US" w:eastAsia="zh-CN"/>
        </w:rPr>
        <w:t xml:space="preserve">签订时间： 2026年    月    日 </w:t>
      </w:r>
      <w:r>
        <w:rPr>
          <w:rFonts w:hint="eastAsia" w:ascii="宋体" w:hAnsi="宋体" w:eastAsia="宋体" w:cs="Times New Roman"/>
          <w:b/>
          <w:bCs/>
          <w:color w:val="000000"/>
          <w:sz w:val="52"/>
          <w:szCs w:val="52"/>
          <w:highlight w:val="none"/>
        </w:rPr>
        <w:t xml:space="preserve">          </w:t>
      </w:r>
      <w:r>
        <w:rPr>
          <w:rFonts w:hint="eastAsia" w:ascii="宋体" w:hAnsi="宋体" w:eastAsia="宋体" w:cs="Times New Roman"/>
          <w:b/>
          <w:bCs/>
          <w:color w:val="000000"/>
          <w:sz w:val="52"/>
          <w:szCs w:val="52"/>
          <w:highlight w:val="none"/>
          <w:lang w:val="en-US" w:eastAsia="zh-CN"/>
        </w:rPr>
        <w:t xml:space="preserve"> </w:t>
      </w:r>
      <w:r>
        <w:rPr>
          <w:rFonts w:hint="eastAsia" w:ascii="宋体" w:hAnsi="宋体" w:eastAsia="宋体" w:cs="Times New Roman"/>
          <w:b/>
          <w:bCs/>
          <w:color w:val="000000"/>
          <w:sz w:val="52"/>
          <w:szCs w:val="52"/>
          <w:highlight w:val="none"/>
        </w:rPr>
        <w:t xml:space="preserve">        </w:t>
      </w:r>
    </w:p>
    <w:p w14:paraId="3103E4AD">
      <w:pPr>
        <w:spacing w:line="360" w:lineRule="auto"/>
        <w:jc w:val="center"/>
        <w:rPr>
          <w:rFonts w:hint="eastAsia" w:ascii="宋体" w:hAnsi="宋体" w:eastAsia="宋体" w:cs="Times New Roman"/>
          <w:b/>
          <w:bCs/>
          <w:color w:val="000000"/>
          <w:sz w:val="52"/>
          <w:szCs w:val="52"/>
          <w:highlight w:val="none"/>
        </w:rPr>
      </w:pPr>
    </w:p>
    <w:p w14:paraId="37EE2483">
      <w:pPr>
        <w:pStyle w:val="10"/>
        <w:rPr>
          <w:rFonts w:hint="eastAsia" w:ascii="宋体" w:hAnsi="宋体" w:eastAsia="宋体" w:cs="宋体"/>
        </w:rPr>
      </w:pPr>
    </w:p>
    <w:p w14:paraId="09BF011C">
      <w:pPr>
        <w:pStyle w:val="10"/>
        <w:rPr>
          <w:rFonts w:hint="eastAsia" w:ascii="宋体" w:hAnsi="宋体" w:eastAsia="宋体" w:cs="宋体"/>
        </w:rPr>
      </w:pPr>
      <w:r>
        <w:rPr>
          <w:rFonts w:hint="eastAsia" w:ascii="宋体" w:hAnsi="宋体" w:eastAsia="宋体" w:cs="宋体"/>
        </w:rPr>
        <w:br w:type="page"/>
      </w:r>
    </w:p>
    <w:p w14:paraId="2D48C88E">
      <w:pPr>
        <w:pStyle w:val="1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 xml:space="preserve">委托人： </w:t>
      </w:r>
      <w:r>
        <w:rPr>
          <w:rFonts w:hint="eastAsia" w:ascii="宋体" w:hAnsi="宋体" w:cs="宋体"/>
          <w:b w:val="0"/>
          <w:bCs w:val="0"/>
          <w:color w:val="000000"/>
          <w:sz w:val="24"/>
          <w:szCs w:val="24"/>
          <w:highlight w:val="none"/>
          <w:lang w:val="en-US" w:eastAsia="zh-CN"/>
        </w:rPr>
        <w:t>广汉发展控股投资集团有限责任公司</w:t>
      </w:r>
      <w:r>
        <w:rPr>
          <w:rFonts w:hint="eastAsia" w:ascii="宋体" w:hAnsi="宋体" w:eastAsia="宋体" w:cs="宋体"/>
          <w:b w:val="0"/>
          <w:bCs w:val="0"/>
          <w:color w:val="000000"/>
          <w:sz w:val="24"/>
          <w:szCs w:val="24"/>
          <w:highlight w:val="none"/>
          <w:lang w:val="en-US" w:eastAsia="zh-CN"/>
        </w:rPr>
        <w:t xml:space="preserve"> </w:t>
      </w:r>
    </w:p>
    <w:p w14:paraId="38865BD8">
      <w:pPr>
        <w:pStyle w:val="1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 xml:space="preserve">审查人：                              </w:t>
      </w:r>
    </w:p>
    <w:p w14:paraId="3570A5BE">
      <w:pPr>
        <w:pStyle w:val="1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szCs w:val="24"/>
          <w:highlight w:val="none"/>
          <w:lang w:val="en-US" w:eastAsia="zh-CN"/>
        </w:rPr>
      </w:pPr>
    </w:p>
    <w:p w14:paraId="704C5A9A">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ascii="宋体" w:hAnsi="宋体" w:eastAsia="宋体" w:cs="宋体"/>
          <w:sz w:val="24"/>
          <w:szCs w:val="24"/>
        </w:rPr>
        <w:t>根据《中华人民共和国民法典》</w:t>
      </w:r>
      <w:r>
        <w:rPr>
          <w:rFonts w:hint="eastAsia" w:ascii="宋体" w:hAnsi="宋体" w:eastAsia="宋体" w:cs="宋体"/>
          <w:sz w:val="24"/>
          <w:szCs w:val="24"/>
          <w:lang w:eastAsia="zh-CN"/>
        </w:rPr>
        <w:t>、</w:t>
      </w:r>
      <w:r>
        <w:rPr>
          <w:rFonts w:ascii="宋体" w:hAnsi="宋体" w:eastAsia="宋体" w:cs="宋体"/>
          <w:sz w:val="24"/>
          <w:szCs w:val="24"/>
        </w:rPr>
        <w:t>《中华人民共和国建筑法》</w:t>
      </w:r>
      <w:r>
        <w:rPr>
          <w:rFonts w:hint="eastAsia" w:ascii="宋体" w:hAnsi="宋体" w:eastAsia="宋体" w:cs="宋体"/>
          <w:sz w:val="24"/>
          <w:szCs w:val="24"/>
          <w:lang w:eastAsia="zh-CN"/>
        </w:rPr>
        <w:t>、</w:t>
      </w:r>
      <w:r>
        <w:rPr>
          <w:rFonts w:ascii="宋体" w:hAnsi="宋体" w:eastAsia="宋体" w:cs="宋体"/>
          <w:sz w:val="24"/>
          <w:szCs w:val="24"/>
        </w:rPr>
        <w:t>《中华人民共和国消防法》</w:t>
      </w:r>
      <w:r>
        <w:rPr>
          <w:rFonts w:hint="eastAsia" w:ascii="宋体" w:hAnsi="宋体" w:eastAsia="宋体" w:cs="宋体"/>
          <w:sz w:val="24"/>
          <w:szCs w:val="24"/>
          <w:lang w:eastAsia="zh-CN"/>
        </w:rPr>
        <w:t>、</w:t>
      </w:r>
      <w:r>
        <w:rPr>
          <w:rFonts w:ascii="宋体" w:hAnsi="宋体" w:eastAsia="宋体" w:cs="宋体"/>
          <w:sz w:val="24"/>
          <w:szCs w:val="24"/>
        </w:rPr>
        <w:t>《建设工程质量管理条例》等</w:t>
      </w:r>
      <w:r>
        <w:rPr>
          <w:rFonts w:hint="eastAsia" w:ascii="宋体" w:hAnsi="宋体" w:eastAsia="宋体" w:cs="宋体"/>
          <w:b w:val="0"/>
          <w:bCs w:val="0"/>
          <w:color w:val="000000"/>
          <w:sz w:val="24"/>
          <w:szCs w:val="24"/>
          <w:highlight w:val="none"/>
          <w:lang w:val="en-US" w:eastAsia="zh-CN"/>
        </w:rPr>
        <w:t>国家及地方有关建设工程施工图设计文件审查管理的法规和规章，委托人委托审查人承担</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cs="宋体"/>
          <w:b w:val="0"/>
          <w:bCs w:val="0"/>
          <w:color w:val="000000"/>
          <w:sz w:val="24"/>
          <w:szCs w:val="24"/>
          <w:highlight w:val="none"/>
          <w:u w:val="single"/>
          <w:lang w:val="en-US" w:eastAsia="zh-CN"/>
        </w:rPr>
        <w:t>广汉市航天航空科技孵化产业园一楼档案室智能化建设项目</w:t>
      </w:r>
      <w:r>
        <w:rPr>
          <w:rFonts w:hint="eastAsia" w:ascii="宋体" w:hAnsi="宋体" w:eastAsia="宋体" w:cs="宋体"/>
          <w:b w:val="0"/>
          <w:bCs w:val="0"/>
          <w:color w:val="000000"/>
          <w:sz w:val="24"/>
          <w:szCs w:val="24"/>
          <w:highlight w:val="none"/>
          <w:lang w:val="en-US" w:eastAsia="zh-CN"/>
        </w:rPr>
        <w:t xml:space="preserve"> 工程的施工图设计文件技术审查工作，经双方协商一致，签订本合同，以兹双方共同遵守。</w:t>
      </w:r>
    </w:p>
    <w:p w14:paraId="22D33D84">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第一条  项目概况</w:t>
      </w:r>
    </w:p>
    <w:p w14:paraId="314A89B0">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 xml:space="preserve">1.工程名称： </w:t>
      </w:r>
      <w:r>
        <w:rPr>
          <w:rFonts w:hint="eastAsia" w:ascii="宋体" w:hAnsi="宋体" w:cs="宋体"/>
          <w:b w:val="0"/>
          <w:bCs w:val="0"/>
          <w:color w:val="000000"/>
          <w:sz w:val="24"/>
          <w:szCs w:val="24"/>
          <w:highlight w:val="none"/>
          <w:lang w:val="en-US" w:eastAsia="zh-CN"/>
        </w:rPr>
        <w:t>广汉市航天航空科技孵化产业园一楼档案室智能化建设项目</w:t>
      </w:r>
      <w:r>
        <w:rPr>
          <w:rFonts w:hint="eastAsia" w:ascii="宋体" w:hAnsi="宋体" w:eastAsia="宋体" w:cs="宋体"/>
          <w:b w:val="0"/>
          <w:bCs w:val="0"/>
          <w:color w:val="000000"/>
          <w:sz w:val="24"/>
          <w:szCs w:val="24"/>
          <w:highlight w:val="none"/>
          <w:lang w:val="en-US" w:eastAsia="zh-CN"/>
        </w:rPr>
        <w:t>；</w:t>
      </w:r>
    </w:p>
    <w:p w14:paraId="5DA3DEDC">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2.工程地点： 广汉市 ；</w:t>
      </w:r>
    </w:p>
    <w:p w14:paraId="5120ED81">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3.工程规模：</w:t>
      </w:r>
      <w:r>
        <w:rPr>
          <w:rFonts w:hint="eastAsia" w:ascii="宋体" w:hAnsi="宋体" w:eastAsia="宋体" w:cs="宋体"/>
          <w:color w:val="auto"/>
          <w:sz w:val="24"/>
          <w:szCs w:val="24"/>
          <w:highlight w:val="none"/>
          <w:lang w:val="en-US" w:eastAsia="zh-CN"/>
        </w:rPr>
        <w:t>本项目位于广汉市航天航空科技孵化产业园一楼内，本次对约400㎡场地进行标准化档案馆专项改造，划分功能区域；同步搭建库房一体化管理系统，环境检测及控制设备、安全防范设备及网络设备等，布设密集档案架</w:t>
      </w:r>
      <w:r>
        <w:rPr>
          <w:rFonts w:hint="eastAsia" w:ascii="宋体" w:hAnsi="宋体" w:eastAsia="宋体" w:cs="宋体"/>
          <w:b w:val="0"/>
          <w:bCs w:val="0"/>
          <w:color w:val="000000"/>
          <w:sz w:val="24"/>
          <w:szCs w:val="24"/>
          <w:highlight w:val="none"/>
          <w:lang w:val="en-US" w:eastAsia="zh-CN"/>
        </w:rPr>
        <w:t>；</w:t>
      </w:r>
    </w:p>
    <w:p w14:paraId="0A27FFF2">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 xml:space="preserve">4.总投资： </w:t>
      </w:r>
      <w:r>
        <w:rPr>
          <w:rFonts w:hint="eastAsia" w:ascii="宋体" w:hAnsi="宋体" w:cs="宋体"/>
          <w:b w:val="0"/>
          <w:bCs w:val="0"/>
          <w:color w:val="000000"/>
          <w:sz w:val="24"/>
          <w:szCs w:val="24"/>
          <w:highlight w:val="none"/>
          <w:lang w:val="en-US" w:eastAsia="zh-CN"/>
        </w:rPr>
        <w:t>271.18</w:t>
      </w:r>
      <w:r>
        <w:rPr>
          <w:rFonts w:hint="eastAsia" w:ascii="宋体" w:hAnsi="宋体" w:eastAsia="宋体" w:cs="宋体"/>
          <w:b w:val="0"/>
          <w:bCs w:val="0"/>
          <w:color w:val="000000"/>
          <w:sz w:val="24"/>
          <w:szCs w:val="24"/>
          <w:highlight w:val="none"/>
          <w:lang w:val="en-US" w:eastAsia="zh-CN"/>
        </w:rPr>
        <w:t>万元 。</w:t>
      </w:r>
    </w:p>
    <w:p w14:paraId="710CBF73">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第二条  服务范围</w:t>
      </w:r>
    </w:p>
    <w:p w14:paraId="45ACF828">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yellow"/>
          <w:lang w:val="en-US" w:eastAsia="zh-CN"/>
        </w:rPr>
      </w:pPr>
      <w:r>
        <w:rPr>
          <w:rFonts w:hint="eastAsia" w:ascii="宋体" w:hAnsi="宋体" w:eastAsia="宋体" w:cs="宋体"/>
          <w:b w:val="0"/>
          <w:bCs w:val="0"/>
          <w:color w:val="000000"/>
          <w:sz w:val="24"/>
          <w:szCs w:val="24"/>
          <w:highlight w:val="none"/>
          <w:lang w:val="en-US" w:eastAsia="zh-CN"/>
        </w:rPr>
        <w:t>审查人应按照国家及地方有关施工图设计文件审查的法规和规章、政策文件、设计规范、各专业《工程建设标准强制性条文》和其他有关工程建设强制性标准等对设计文件进行审查。审查内容包括但不限于本项目范围内全部施工图设计成果：档案室功能分区规划、既有建筑改造平面布局优化、档案室标准化室内整体装修及各功能分区专项装饰设计（含装修防火、防火分隔、疏散条件技术核查）；档案库房一体化管理、恒温恒湿环境监测、安全防范、计算机网络、综合布线、机房配套等智能化系统；档案室专用通风、除湿、配电、照明配套机电系统（含消防配电、防排烟、火灾报警相关设计核查）；档案密集架平面排布、点位规划及配套基础专项设计。对全套施工图、图纸深化内容、细部节点详图开展技术核查，核查设计合规性、设计深度、方案合理性、档案室工艺适用性及施工可实施性，出具正式技术审查意见，并配合设计单位依据审查意见完成图纸复核。</w:t>
      </w:r>
      <w:bookmarkStart w:id="4" w:name="_GoBack"/>
      <w:bookmarkEnd w:id="4"/>
    </w:p>
    <w:p w14:paraId="6A00101A">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第三条  服务内容</w:t>
      </w:r>
    </w:p>
    <w:p w14:paraId="60280702">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1.审查人应按照国家及地方有关施工图设计文件审查的法规和规章、政策文件、设计规范、各专业《工程建设标准强制性条文》和其他有关工程建设强制性标准等对设计文件进行审查。审查内容包括但不限于：</w:t>
      </w:r>
    </w:p>
    <w:p w14:paraId="62213E2C">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r>
        <w:rPr>
          <w:rFonts w:ascii="宋体" w:hAnsi="宋体" w:eastAsia="宋体" w:cs="宋体"/>
          <w:sz w:val="24"/>
          <w:szCs w:val="24"/>
        </w:rPr>
        <w:t>（1）施工图文件是否达到规定设计深度要求；</w:t>
      </w:r>
    </w:p>
    <w:p w14:paraId="6AD580E6">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r>
        <w:rPr>
          <w:rFonts w:ascii="宋体" w:hAnsi="宋体" w:eastAsia="宋体" w:cs="宋体"/>
          <w:sz w:val="24"/>
          <w:szCs w:val="24"/>
        </w:rPr>
        <w:t>（2）设计内容是否符合工程建设强制性标准、行业规范及档案库房相关专项技术要求；</w:t>
      </w:r>
    </w:p>
    <w:p w14:paraId="5F18099D">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highlight w:val="none"/>
        </w:rPr>
      </w:pPr>
      <w:r>
        <w:rPr>
          <w:rFonts w:ascii="宋体" w:hAnsi="宋体" w:eastAsia="宋体" w:cs="宋体"/>
          <w:sz w:val="24"/>
          <w:szCs w:val="24"/>
        </w:rPr>
        <w:t>（</w:t>
      </w:r>
      <w:r>
        <w:rPr>
          <w:rFonts w:ascii="宋体" w:hAnsi="宋体" w:eastAsia="宋体" w:cs="宋体"/>
          <w:sz w:val="24"/>
          <w:szCs w:val="24"/>
          <w:highlight w:val="none"/>
        </w:rPr>
        <w:t xml:space="preserve">3）建筑改造、装饰、机电、智能化、密集架基础等相关设计方案的安全性、合理性、施工可实施性； </w:t>
      </w:r>
    </w:p>
    <w:p w14:paraId="74D95C42">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highlight w:val="none"/>
        </w:rPr>
      </w:pPr>
      <w:r>
        <w:rPr>
          <w:rFonts w:ascii="宋体" w:hAnsi="宋体" w:eastAsia="宋体" w:cs="宋体"/>
          <w:sz w:val="24"/>
          <w:szCs w:val="24"/>
          <w:highlight w:val="none"/>
        </w:rPr>
        <w:t>（4）防火分隔、疏散条件、消防配电、火灾报警、防排烟等消防安全相关设计合规性；</w:t>
      </w:r>
    </w:p>
    <w:p w14:paraId="51004F8A">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highlight w:val="none"/>
        </w:rPr>
      </w:pPr>
      <w:r>
        <w:rPr>
          <w:rFonts w:ascii="宋体" w:hAnsi="宋体" w:eastAsia="宋体" w:cs="宋体"/>
          <w:sz w:val="24"/>
          <w:szCs w:val="24"/>
          <w:highlight w:val="none"/>
        </w:rPr>
        <w:t>（5）设计文件签章、格式完整性；</w:t>
      </w:r>
    </w:p>
    <w:p w14:paraId="3D1D09A8">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ascii="宋体" w:hAnsi="宋体" w:eastAsia="宋体" w:cs="宋体"/>
          <w:sz w:val="24"/>
          <w:szCs w:val="24"/>
          <w:highlight w:val="none"/>
        </w:rPr>
        <w:t>（6）法律法规、规范标准及采购人要求的其他审查内容</w:t>
      </w:r>
      <w:r>
        <w:rPr>
          <w:rFonts w:hint="eastAsia" w:ascii="宋体" w:hAnsi="宋体" w:eastAsia="宋体" w:cs="宋体"/>
          <w:b w:val="0"/>
          <w:bCs w:val="0"/>
          <w:color w:val="000000"/>
          <w:sz w:val="24"/>
          <w:szCs w:val="24"/>
          <w:highlight w:val="none"/>
          <w:lang w:val="en-US" w:eastAsia="zh-CN"/>
        </w:rPr>
        <w:t>。</w:t>
      </w:r>
    </w:p>
    <w:p w14:paraId="3C528742">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2.协助委托人办理备案手续。</w:t>
      </w:r>
    </w:p>
    <w:p w14:paraId="4FC7473F">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3.按照委托人的要求完成本项目设计变更等其他技术审查配合工作。</w:t>
      </w:r>
    </w:p>
    <w:p w14:paraId="35A97F90">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第四条  服务期限</w:t>
      </w:r>
    </w:p>
    <w:p w14:paraId="72CFB050">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szCs w:val="24"/>
        </w:rPr>
      </w:pPr>
      <w:r>
        <w:rPr>
          <w:rFonts w:hint="eastAsia" w:ascii="宋体" w:hAnsi="宋体" w:eastAsia="宋体" w:cs="宋体"/>
          <w:b w:val="0"/>
          <w:bCs w:val="0"/>
          <w:color w:val="000000"/>
          <w:sz w:val="24"/>
          <w:szCs w:val="24"/>
          <w:highlight w:val="none"/>
          <w:lang w:val="en-US" w:eastAsia="zh-CN"/>
        </w:rPr>
        <w:t>1.服务期限：</w:t>
      </w:r>
      <w:r>
        <w:rPr>
          <w:rFonts w:ascii="宋体" w:hAnsi="宋体" w:eastAsia="宋体" w:cs="宋体"/>
          <w:sz w:val="24"/>
          <w:szCs w:val="24"/>
        </w:rPr>
        <w:t>合同签订且审查人收到委托人提交</w:t>
      </w:r>
      <w:r>
        <w:rPr>
          <w:rFonts w:ascii="宋体" w:hAnsi="宋体" w:eastAsia="宋体" w:cs="宋体"/>
          <w:b w:val="0"/>
          <w:bCs w:val="0"/>
          <w:sz w:val="24"/>
          <w:szCs w:val="24"/>
        </w:rPr>
        <w:t>齐全审查资料后</w:t>
      </w:r>
      <w:r>
        <w:rPr>
          <w:rStyle w:val="9"/>
          <w:rFonts w:ascii="宋体" w:hAnsi="宋体" w:eastAsia="宋体" w:cs="宋体"/>
          <w:b w:val="0"/>
          <w:bCs w:val="0"/>
          <w:sz w:val="24"/>
          <w:szCs w:val="24"/>
        </w:rPr>
        <w:t>15个日历天内</w:t>
      </w:r>
      <w:r>
        <w:rPr>
          <w:rFonts w:ascii="宋体" w:hAnsi="宋体" w:eastAsia="宋体" w:cs="宋体"/>
          <w:b w:val="0"/>
          <w:bCs w:val="0"/>
          <w:sz w:val="24"/>
          <w:szCs w:val="24"/>
        </w:rPr>
        <w:t>出具正式施工图技术审查意见，并在项目建设期间提供配套配合服务。</w:t>
      </w:r>
    </w:p>
    <w:p w14:paraId="53E991CA">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lang w:val="en-US" w:eastAsia="zh-CN"/>
        </w:rPr>
        <w:t>项目建设期间配合服务周期自本合同签订之日起至本项目竣工验收合格之日止；服务内容包含本项目施工图技术审查相关配套配合工作；审查人在收到委托人移交完整设计变更图纸及全部配套资料后5个日历天内完成设计变更技术审查并出具审查意见；根据项目推进进度，及时配合委托人开展各项技术对接工作。</w:t>
      </w:r>
    </w:p>
    <w:p w14:paraId="0F1627DC">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第五条  合同费用及支付方式</w:t>
      </w:r>
    </w:p>
    <w:p w14:paraId="18F91272">
      <w:pPr>
        <w:pStyle w:val="10"/>
        <w:keepNext w:val="0"/>
        <w:keepLines w:val="0"/>
        <w:pageBreakBefore w:val="0"/>
        <w:widowControl/>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1.本合同审查费用为：</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元（大写：人民币</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其中，不含税金额为</w:t>
      </w:r>
      <w:r>
        <w:rPr>
          <w:rFonts w:hint="eastAsia" w:ascii="宋体" w:hAnsi="宋体" w:eastAsia="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元</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税金为</w:t>
      </w:r>
      <w:r>
        <w:rPr>
          <w:rFonts w:hint="eastAsia" w:ascii="宋体" w:hAnsi="宋体" w:eastAsia="宋体" w:cs="宋体"/>
          <w:b w:val="0"/>
          <w:bCs w:val="0"/>
          <w:color w:val="auto"/>
          <w:sz w:val="24"/>
          <w:szCs w:val="24"/>
          <w:highlight w:val="none"/>
          <w:u w:val="single"/>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元</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税率</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b w:val="0"/>
          <w:bCs w:val="0"/>
          <w:color w:val="000000"/>
          <w:sz w:val="24"/>
          <w:szCs w:val="24"/>
          <w:highlight w:val="none"/>
          <w:lang w:val="en-US" w:eastAsia="zh-CN"/>
        </w:rPr>
        <w:t>。该费用已包含审查人审查本项目的全部内容所需的全部费用，包括但不仅限于技术咨询费、资料费、差旅费、利润及税金。审查人在签订本合同时已充分考虑合同履行期间可能出现的全部风险。</w:t>
      </w:r>
    </w:p>
    <w:p w14:paraId="7945F11F">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供应商完成全部施工图审查工作并配合采购人取得主管部门备案文件后，供应商向采购人提交支付申请，采购人在收到申请后15个工作日内一次性付清全部费用。采购人付清费用不免除供应商在建设期间提供配合服务以及负责本项目设计变更文件审查等义务和责任。</w:t>
      </w:r>
    </w:p>
    <w:p w14:paraId="54377903">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审查人须在付款前向委托人提出付款申请并出具合法、有效、足额的增值税专用发票，否则委托人有权拒绝支付且不承担逾期付款责任，如遇国家税收政策调整，双方应根据合同发票的开具时点，执行相应的增值税税率，项目总金额保持不变。</w:t>
      </w:r>
    </w:p>
    <w:p w14:paraId="02A63A7E">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第六条  委托人权利和责任</w:t>
      </w:r>
    </w:p>
    <w:p w14:paraId="346024B0">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1.委托人应向审查人提交开展审查所需的相关文件，并对其完整性、真实性、时限性负责。</w:t>
      </w:r>
    </w:p>
    <w:p w14:paraId="462F86D0">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2.委托人不得要求审查人违反国家有关标准规定进行审查。</w:t>
      </w:r>
    </w:p>
    <w:p w14:paraId="04E08214">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3.审查人提出初审意见后，委托人应责成勘察设计单位及时修改、完善并回复，勘察设计单位的修改时间不计入审查期。</w:t>
      </w:r>
    </w:p>
    <w:p w14:paraId="11FA54F8">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4.委托人应适时办理审查备案手续。</w:t>
      </w:r>
    </w:p>
    <w:p w14:paraId="6A3917F2">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5.委托人应按本合同的约定及时支付审查咨询费。</w:t>
      </w:r>
    </w:p>
    <w:p w14:paraId="14B456D2">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第七条  审查人权利和责任</w:t>
      </w:r>
    </w:p>
    <w:p w14:paraId="0AD6DE0A">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1.审查人应按国家技术规范、标准、规程、工程强制性条文进行审查。</w:t>
      </w:r>
    </w:p>
    <w:p w14:paraId="2092D077">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2.若委托人提交设计文件后需审查人就该项目的其他设计文件进行审查的，审查人应配合并提交审查意见，合同费用不调整。审查成果按单位工程分别提交，各提交1份扫描件、6份纸质版。</w:t>
      </w:r>
    </w:p>
    <w:p w14:paraId="626B00F2">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3.审查人不得明示或暗示勘察、设计单位违反有关法规、规范及强制性标准。</w:t>
      </w:r>
    </w:p>
    <w:p w14:paraId="31149F6B">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4.审查人应按合同约定的期限完成审查，并提交审查意见。委托人要求审查人提前交付审查成果时，若审查人能够做到，审查人应尽量配合，合同费用不调整。</w:t>
      </w:r>
    </w:p>
    <w:p w14:paraId="3D83EEA3">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5.审查人应积极配合委托人办理审查备案手续。</w:t>
      </w:r>
    </w:p>
    <w:p w14:paraId="73E2032B">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6.不论委托人是否已结清审查费用，均不免除审查人在项目建设期间积极配合提供服务的责任（如设计变更文件的审查等）。</w:t>
      </w:r>
    </w:p>
    <w:p w14:paraId="4BD628EA">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第八条  违约责任</w:t>
      </w:r>
    </w:p>
    <w:p w14:paraId="51E2940F">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合同履行期间，若委托人提出终止或解除合同，审查人未开始审查工作的，委托人向审查人支付合同金额的10%作为违约金；审查人已开始审查工作的（以审查人出具的审查意见为准），委托人按以下计取方式支付审查费用：</w:t>
      </w:r>
    </w:p>
    <w:p w14:paraId="5190CD99">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（1）审查人未给出全部专业意见时，委托人按合同总费用的20%支付审查费；</w:t>
      </w:r>
    </w:p>
    <w:p w14:paraId="6A738048">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（2）审查人已给出全部专业意见时，委托人按合同总费用的50%支付审查费；</w:t>
      </w:r>
    </w:p>
    <w:p w14:paraId="441518E8">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（3）审查人已出具审查合格意见时，委托人按合同总费用的90%支付审查费（委托人支付审查费后，审查人应配合完善审查备案手续）。</w:t>
      </w:r>
    </w:p>
    <w:p w14:paraId="0B04EA3F">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合同履行期间，若审查人提出终止或解除合同，不论审查人是否已开始审查工作或提交审查成果，委托人均不承担任何费用，且审查人应按合同总费用的10%向委托人支付违约金。如委托人还有其他损失，审查人应全额赔偿，委托人损失包括但不限于委托人另行选定并委托审查机构的费用、委托人为实现债权支出的案件受理费、保全费、保全担保费、律师费等全部费用。</w:t>
      </w:r>
    </w:p>
    <w:p w14:paraId="310297EA">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委托人未按合同约定支付审查费用的，每滞后1日，委托人应按合同总费用的1‰向审查人支付违约金。审查人未按合同约定的期限提交审查意见（含设计变更的审查）的，每滞后1日，审查人应按合同总费用的1‰向委托人支付违约金。审查人逾期超过15天提交审查意见，委托人有权解除合同，审查人应按合同金额的10%承担违约金，如委托人还有其他损失，审查人应全额赔偿，委托人损失包括但不限于委托人另行选定并委托审查机构的费用、委托人为实现债权支出的案件受理费、保全费、保全担保费、律师费等全部费用。</w:t>
      </w:r>
    </w:p>
    <w:p w14:paraId="41688BF2">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4.设计文件经审查合格后，若仍有违反法律、法规和工程建设强制性标准的问题，给委托人造成损失的，审查人应承担相应责任。审查人除协助设计人员采取补救措施外，应赔偿委托人的损失，委托人损失包括但不限于委托人因审查人原因造成的损失、支出的费用、委托人为实现债权支出的案件受理费、保全费、保全担保费、律师费等全部费用。</w:t>
      </w:r>
    </w:p>
    <w:p w14:paraId="51D52D14">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5.工程建设期间，审查人若拒不配合审查设计变更文件的，审查人应按合同总费用的10%向委托人支付违约金。</w:t>
      </w:r>
    </w:p>
    <w:p w14:paraId="19E3ACC0">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第九条  争议解决方式</w:t>
      </w:r>
    </w:p>
    <w:p w14:paraId="0F778610">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因履行本合同发生的争议，合同双方应友好协商解决，经协商仍无法达成一致的，任一方均可向 广汉市人民法院 起诉。</w:t>
      </w:r>
    </w:p>
    <w:p w14:paraId="5CE55FD8">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第十条  其他</w:t>
      </w:r>
    </w:p>
    <w:p w14:paraId="62B96633">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审查期间，若委托人或该项目的勘察设计单位对审查意见有异议，各方应友好沟通并交换意见。经沟通无法达成一致的，委托人可报请项目所在地建设行政主管部门组织审查或论证，经主管部门裁决后，由责任方承担组织审查或论证的费用。</w:t>
      </w:r>
    </w:p>
    <w:p w14:paraId="57C03EB3">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2.本合同未尽事宜，双方可另行协商并签订补充协议，补充协议与本合同具同等法律效力。</w:t>
      </w:r>
    </w:p>
    <w:p w14:paraId="3E50582E">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3.本合同一式 肆 份，双方各执 贰 份，均具同等法律效力。</w:t>
      </w:r>
    </w:p>
    <w:p w14:paraId="3DB5AA9A">
      <w:pPr>
        <w:pStyle w:val="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4.本合同自双方签字并盖章之日起生效。</w:t>
      </w:r>
    </w:p>
    <w:p w14:paraId="77A9530A">
      <w:pPr>
        <w:pStyle w:val="10"/>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（以下无正文）</w:t>
      </w:r>
    </w:p>
    <w:tbl>
      <w:tblPr>
        <w:tblStyle w:val="7"/>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1"/>
        <w:gridCol w:w="2438"/>
        <w:gridCol w:w="1556"/>
        <w:gridCol w:w="2897"/>
      </w:tblGrid>
      <w:tr w14:paraId="753D6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2384" w:type="pct"/>
            <w:gridSpan w:val="2"/>
            <w:tcBorders>
              <w:top w:val="single" w:color="auto" w:sz="4" w:space="0"/>
              <w:left w:val="single" w:color="auto" w:sz="4" w:space="0"/>
              <w:bottom w:val="single" w:color="auto" w:sz="4" w:space="0"/>
              <w:right w:val="single" w:color="auto" w:sz="4" w:space="0"/>
            </w:tcBorders>
            <w:noWrap w:val="0"/>
            <w:vAlign w:val="center"/>
          </w:tcPr>
          <w:p w14:paraId="3059D41F">
            <w:pPr>
              <w:pStyle w:val="5"/>
              <w:keepNext w:val="0"/>
              <w:keepLines w:val="0"/>
              <w:pageBreakBefore w:val="0"/>
              <w:widowControl w:val="0"/>
              <w:wordWrap/>
              <w:overflowPunct/>
              <w:topLinePunct w:val="0"/>
              <w:bidi w:val="0"/>
              <w:spacing w:line="360" w:lineRule="auto"/>
              <w:ind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委托人</w:t>
            </w:r>
          </w:p>
        </w:tc>
        <w:tc>
          <w:tcPr>
            <w:tcW w:w="2615" w:type="pct"/>
            <w:gridSpan w:val="2"/>
            <w:tcBorders>
              <w:top w:val="single" w:color="auto" w:sz="4" w:space="0"/>
              <w:left w:val="single" w:color="auto" w:sz="4" w:space="0"/>
              <w:bottom w:val="single" w:color="auto" w:sz="4" w:space="0"/>
              <w:right w:val="single" w:color="auto" w:sz="4" w:space="0"/>
            </w:tcBorders>
            <w:noWrap w:val="0"/>
            <w:vAlign w:val="center"/>
          </w:tcPr>
          <w:p w14:paraId="6ADC31CF">
            <w:pPr>
              <w:pStyle w:val="5"/>
              <w:keepNext w:val="0"/>
              <w:keepLines w:val="0"/>
              <w:pageBreakBefore w:val="0"/>
              <w:widowControl w:val="0"/>
              <w:wordWrap/>
              <w:overflowPunct/>
              <w:topLinePunct w:val="0"/>
              <w:bidi w:val="0"/>
              <w:spacing w:line="360" w:lineRule="auto"/>
              <w:ind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审查人</w:t>
            </w:r>
          </w:p>
        </w:tc>
      </w:tr>
      <w:tr w14:paraId="76B6D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952" w:type="pct"/>
            <w:tcBorders>
              <w:top w:val="single" w:color="auto" w:sz="4" w:space="0"/>
              <w:left w:val="single" w:color="auto" w:sz="4" w:space="0"/>
              <w:right w:val="nil"/>
            </w:tcBorders>
            <w:noWrap w:val="0"/>
            <w:vAlign w:val="top"/>
          </w:tcPr>
          <w:p w14:paraId="680FEAE6">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eastAsia="zh-CN"/>
              </w:rPr>
              <w:t>：</w:t>
            </w:r>
          </w:p>
        </w:tc>
        <w:tc>
          <w:tcPr>
            <w:tcW w:w="1431" w:type="pct"/>
            <w:tcBorders>
              <w:top w:val="single" w:color="auto" w:sz="4" w:space="0"/>
              <w:left w:val="nil"/>
              <w:right w:val="single" w:color="auto" w:sz="4" w:space="0"/>
            </w:tcBorders>
            <w:noWrap w:val="0"/>
            <w:vAlign w:val="top"/>
          </w:tcPr>
          <w:p w14:paraId="0590C2FF">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 xml:space="preserve"> </w:t>
            </w:r>
          </w:p>
        </w:tc>
        <w:tc>
          <w:tcPr>
            <w:tcW w:w="914" w:type="pct"/>
            <w:tcBorders>
              <w:top w:val="single" w:color="auto" w:sz="4" w:space="0"/>
              <w:left w:val="single" w:color="auto" w:sz="4" w:space="0"/>
              <w:right w:val="nil"/>
            </w:tcBorders>
            <w:noWrap w:val="0"/>
            <w:vAlign w:val="top"/>
          </w:tcPr>
          <w:p w14:paraId="5986A67D">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eastAsia="zh-CN"/>
              </w:rPr>
              <w:t>：</w:t>
            </w:r>
          </w:p>
        </w:tc>
        <w:tc>
          <w:tcPr>
            <w:tcW w:w="1701" w:type="pct"/>
            <w:tcBorders>
              <w:top w:val="single" w:color="auto" w:sz="4" w:space="0"/>
              <w:left w:val="nil"/>
              <w:right w:val="single" w:color="auto" w:sz="4" w:space="0"/>
            </w:tcBorders>
            <w:noWrap w:val="0"/>
            <w:vAlign w:val="top"/>
          </w:tcPr>
          <w:p w14:paraId="4E921434">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 </w:t>
            </w:r>
          </w:p>
        </w:tc>
      </w:tr>
      <w:tr w14:paraId="4B2B8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9" w:hRule="atLeast"/>
          <w:jc w:val="center"/>
        </w:trPr>
        <w:tc>
          <w:tcPr>
            <w:tcW w:w="952" w:type="pct"/>
            <w:tcBorders>
              <w:left w:val="single" w:color="auto" w:sz="4" w:space="0"/>
              <w:right w:val="nil"/>
            </w:tcBorders>
            <w:noWrap w:val="0"/>
            <w:vAlign w:val="top"/>
          </w:tcPr>
          <w:p w14:paraId="2438093A">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rPr>
              <w:t>单位地址</w:t>
            </w:r>
            <w:r>
              <w:rPr>
                <w:rFonts w:hint="eastAsia" w:ascii="宋体" w:hAnsi="宋体" w:eastAsia="宋体" w:cs="宋体"/>
                <w:color w:val="auto"/>
                <w:sz w:val="24"/>
                <w:szCs w:val="24"/>
                <w:highlight w:val="none"/>
                <w:lang w:eastAsia="zh-CN"/>
              </w:rPr>
              <w:t>：</w:t>
            </w:r>
          </w:p>
        </w:tc>
        <w:tc>
          <w:tcPr>
            <w:tcW w:w="1431" w:type="pct"/>
            <w:tcBorders>
              <w:left w:val="nil"/>
              <w:right w:val="single" w:color="auto" w:sz="4" w:space="0"/>
            </w:tcBorders>
            <w:noWrap w:val="0"/>
            <w:vAlign w:val="top"/>
          </w:tcPr>
          <w:p w14:paraId="204B0B42">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 xml:space="preserve"> </w:t>
            </w:r>
          </w:p>
        </w:tc>
        <w:tc>
          <w:tcPr>
            <w:tcW w:w="914" w:type="pct"/>
            <w:tcBorders>
              <w:left w:val="single" w:color="auto" w:sz="4" w:space="0"/>
              <w:right w:val="nil"/>
            </w:tcBorders>
            <w:noWrap w:val="0"/>
            <w:vAlign w:val="top"/>
          </w:tcPr>
          <w:p w14:paraId="7AE5B759">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rPr>
              <w:t>单位地址</w:t>
            </w:r>
            <w:r>
              <w:rPr>
                <w:rFonts w:hint="eastAsia" w:ascii="宋体" w:hAnsi="宋体" w:eastAsia="宋体" w:cs="宋体"/>
                <w:color w:val="auto"/>
                <w:sz w:val="24"/>
                <w:szCs w:val="24"/>
                <w:highlight w:val="none"/>
                <w:lang w:eastAsia="zh-CN"/>
              </w:rPr>
              <w:t>：</w:t>
            </w:r>
          </w:p>
        </w:tc>
        <w:tc>
          <w:tcPr>
            <w:tcW w:w="1701" w:type="pct"/>
            <w:tcBorders>
              <w:left w:val="nil"/>
              <w:right w:val="single" w:color="auto" w:sz="4" w:space="0"/>
            </w:tcBorders>
            <w:noWrap w:val="0"/>
            <w:vAlign w:val="top"/>
          </w:tcPr>
          <w:p w14:paraId="541F0912">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 </w:t>
            </w:r>
          </w:p>
        </w:tc>
      </w:tr>
      <w:tr w14:paraId="24128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1" w:hRule="atLeast"/>
          <w:jc w:val="center"/>
        </w:trPr>
        <w:tc>
          <w:tcPr>
            <w:tcW w:w="952" w:type="pct"/>
            <w:tcBorders>
              <w:left w:val="single" w:color="auto" w:sz="4" w:space="0"/>
              <w:right w:val="nil"/>
            </w:tcBorders>
            <w:noWrap w:val="0"/>
            <w:vAlign w:val="top"/>
          </w:tcPr>
          <w:p w14:paraId="69E0A450">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rPr>
              <w:t>法人代表</w:t>
            </w:r>
            <w:r>
              <w:rPr>
                <w:rFonts w:hint="eastAsia" w:ascii="宋体" w:hAnsi="宋体" w:eastAsia="宋体" w:cs="宋体"/>
                <w:b w:val="0"/>
                <w:bCs w:val="0"/>
                <w:color w:val="000000"/>
                <w:sz w:val="24"/>
                <w:szCs w:val="24"/>
                <w:highlight w:val="none"/>
                <w:lang w:val="en-US" w:eastAsia="zh-CN"/>
              </w:rPr>
              <w:t>或授权委托人</w:t>
            </w:r>
            <w:r>
              <w:rPr>
                <w:rFonts w:hint="eastAsia" w:ascii="宋体" w:hAnsi="宋体" w:eastAsia="宋体" w:cs="宋体"/>
                <w:color w:val="auto"/>
                <w:sz w:val="24"/>
                <w:szCs w:val="24"/>
                <w:highlight w:val="none"/>
                <w:lang w:eastAsia="zh-CN"/>
              </w:rPr>
              <w:t>：</w:t>
            </w:r>
          </w:p>
        </w:tc>
        <w:tc>
          <w:tcPr>
            <w:tcW w:w="1431" w:type="pct"/>
            <w:tcBorders>
              <w:left w:val="nil"/>
              <w:right w:val="single" w:color="auto" w:sz="4" w:space="0"/>
            </w:tcBorders>
            <w:noWrap w:val="0"/>
            <w:vAlign w:val="top"/>
          </w:tcPr>
          <w:p w14:paraId="4E26FC62">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rPr>
            </w:pPr>
          </w:p>
        </w:tc>
        <w:tc>
          <w:tcPr>
            <w:tcW w:w="914" w:type="pct"/>
            <w:tcBorders>
              <w:left w:val="single" w:color="auto" w:sz="4" w:space="0"/>
              <w:right w:val="nil"/>
            </w:tcBorders>
            <w:noWrap w:val="0"/>
            <w:vAlign w:val="top"/>
          </w:tcPr>
          <w:p w14:paraId="3A0D98A3">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rPr>
              <w:t>法人代表</w:t>
            </w:r>
            <w:r>
              <w:rPr>
                <w:rFonts w:hint="eastAsia" w:ascii="宋体" w:hAnsi="宋体" w:eastAsia="宋体" w:cs="宋体"/>
                <w:b w:val="0"/>
                <w:bCs w:val="0"/>
                <w:color w:val="000000"/>
                <w:sz w:val="24"/>
                <w:szCs w:val="24"/>
                <w:highlight w:val="none"/>
                <w:lang w:val="en-US" w:eastAsia="zh-CN"/>
              </w:rPr>
              <w:t>或授权委托人</w:t>
            </w:r>
            <w:r>
              <w:rPr>
                <w:rFonts w:hint="eastAsia" w:ascii="宋体" w:hAnsi="宋体" w:eastAsia="宋体" w:cs="宋体"/>
                <w:color w:val="auto"/>
                <w:sz w:val="24"/>
                <w:szCs w:val="24"/>
                <w:highlight w:val="none"/>
                <w:lang w:eastAsia="zh-CN"/>
              </w:rPr>
              <w:t>：</w:t>
            </w:r>
          </w:p>
        </w:tc>
        <w:tc>
          <w:tcPr>
            <w:tcW w:w="1701" w:type="pct"/>
            <w:tcBorders>
              <w:left w:val="nil"/>
              <w:right w:val="single" w:color="auto" w:sz="4" w:space="0"/>
            </w:tcBorders>
            <w:noWrap w:val="0"/>
            <w:vAlign w:val="top"/>
          </w:tcPr>
          <w:p w14:paraId="032C5C21">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rPr>
            </w:pPr>
          </w:p>
        </w:tc>
      </w:tr>
      <w:tr w14:paraId="42C3B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952" w:type="pct"/>
            <w:tcBorders>
              <w:left w:val="single" w:color="auto" w:sz="4" w:space="0"/>
              <w:bottom w:val="single" w:color="auto" w:sz="4" w:space="0"/>
              <w:right w:val="nil"/>
            </w:tcBorders>
            <w:noWrap w:val="0"/>
            <w:vAlign w:val="top"/>
          </w:tcPr>
          <w:p w14:paraId="412C2587">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日期：</w:t>
            </w:r>
          </w:p>
        </w:tc>
        <w:tc>
          <w:tcPr>
            <w:tcW w:w="1431" w:type="pct"/>
            <w:tcBorders>
              <w:left w:val="nil"/>
              <w:bottom w:val="single" w:color="auto" w:sz="4" w:space="0"/>
              <w:right w:val="single" w:color="auto" w:sz="4" w:space="0"/>
            </w:tcBorders>
            <w:noWrap w:val="0"/>
            <w:vAlign w:val="top"/>
          </w:tcPr>
          <w:p w14:paraId="473C8730">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vertAlign w:val="baseline"/>
                <w:lang w:eastAsia="zh-CN"/>
              </w:rPr>
            </w:pPr>
          </w:p>
        </w:tc>
        <w:tc>
          <w:tcPr>
            <w:tcW w:w="914" w:type="pct"/>
            <w:tcBorders>
              <w:left w:val="single" w:color="auto" w:sz="4" w:space="0"/>
              <w:bottom w:val="single" w:color="auto" w:sz="4" w:space="0"/>
              <w:right w:val="nil"/>
            </w:tcBorders>
            <w:noWrap w:val="0"/>
            <w:vAlign w:val="top"/>
          </w:tcPr>
          <w:p w14:paraId="76E761B3">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val="en-US" w:eastAsia="zh-CN"/>
              </w:rPr>
              <w:t>日期：</w:t>
            </w:r>
          </w:p>
        </w:tc>
        <w:tc>
          <w:tcPr>
            <w:tcW w:w="1701" w:type="pct"/>
            <w:tcBorders>
              <w:left w:val="nil"/>
              <w:bottom w:val="single" w:color="auto" w:sz="4" w:space="0"/>
              <w:right w:val="single" w:color="auto" w:sz="4" w:space="0"/>
            </w:tcBorders>
            <w:noWrap w:val="0"/>
            <w:vAlign w:val="top"/>
          </w:tcPr>
          <w:p w14:paraId="172B6BD8">
            <w:pPr>
              <w:pStyle w:val="5"/>
              <w:keepNext w:val="0"/>
              <w:keepLines w:val="0"/>
              <w:pageBreakBefore w:val="0"/>
              <w:widowControl w:val="0"/>
              <w:wordWrap/>
              <w:overflowPunct/>
              <w:topLinePunct w:val="0"/>
              <w:bidi w:val="0"/>
              <w:spacing w:line="360" w:lineRule="auto"/>
              <w:ind w:firstLine="0" w:firstLineChars="0"/>
              <w:jc w:val="left"/>
              <w:rPr>
                <w:rFonts w:hint="eastAsia" w:ascii="宋体" w:hAnsi="宋体" w:eastAsia="宋体" w:cs="宋体"/>
                <w:color w:val="auto"/>
                <w:sz w:val="24"/>
                <w:szCs w:val="24"/>
                <w:highlight w:val="none"/>
                <w:vertAlign w:val="baseline"/>
                <w:lang w:eastAsia="zh-CN"/>
              </w:rPr>
            </w:pPr>
          </w:p>
        </w:tc>
      </w:tr>
      <w:bookmarkEnd w:id="2"/>
      <w:bookmarkEnd w:id="3"/>
    </w:tbl>
    <w:p w14:paraId="5ADB90E9"/>
    <w:sectPr>
      <w:footerReference r:id="rId3"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AF8EC">
    <w:pPr>
      <w:pStyle w:val="4"/>
      <w:jc w:val="center"/>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D8CFCE">
                          <w:pPr>
                            <w:pStyle w:val="4"/>
                            <w:jc w:val="cente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67 -</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1D8CFCE">
                    <w:pPr>
                      <w:pStyle w:val="4"/>
                      <w:jc w:val="cente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67 -</w:t>
                    </w:r>
                    <w:r>
                      <w:rPr>
                        <w:rFonts w:ascii="宋体" w:hAnsi="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017ED6"/>
    <w:rsid w:val="166E5E04"/>
    <w:rsid w:val="44A16439"/>
    <w:rsid w:val="6531659D"/>
    <w:rsid w:val="67747D3A"/>
    <w:rsid w:val="6B383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630"/>
    </w:pPr>
    <w:rPr>
      <w:sz w:val="32"/>
      <w:szCs w:val="20"/>
    </w:rPr>
  </w:style>
  <w:style w:type="paragraph" w:styleId="4">
    <w:name w:val="footer"/>
    <w:basedOn w:val="1"/>
    <w:qFormat/>
    <w:uiPriority w:val="99"/>
    <w:pPr>
      <w:tabs>
        <w:tab w:val="center" w:pos="4153"/>
        <w:tab w:val="right" w:pos="8306"/>
      </w:tabs>
      <w:snapToGrid w:val="0"/>
      <w:jc w:val="left"/>
    </w:pPr>
    <w:rPr>
      <w:sz w:val="18"/>
      <w:szCs w:val="20"/>
    </w:rPr>
  </w:style>
  <w:style w:type="paragraph" w:styleId="5">
    <w:name w:val="Body Text First Indent 2"/>
    <w:basedOn w:val="3"/>
    <w:qFormat/>
    <w:uiPriority w:val="0"/>
    <w:pPr>
      <w:ind w:firstLine="420" w:firstLineChars="200"/>
    </w:pPr>
    <w:rPr>
      <w:rFonts w:ascii="Calibri" w:hAnsi="Calibri"/>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3303</Words>
  <Characters>3362</Characters>
  <Lines>0</Lines>
  <Paragraphs>0</Paragraphs>
  <TotalTime>0</TotalTime>
  <ScaleCrop>false</ScaleCrop>
  <LinksUpToDate>false</LinksUpToDate>
  <CharactersWithSpaces>3659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2026-02-10T01:17:00Z</dcterms:created>
  <dc:creator>PC</dc:creator>
  <cp:lastModifiedBy>大大大南瓜</cp:lastModifiedBy>
  <dcterms:modified xsi:type="dcterms:W3CDTF">2026-08-04T09:51:09Z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eyJoZGlkIjoiMTY0ZWI2NTJkZjhlY2ZlOTM0NThiODIyYWQ1OGQ5NjIiLCJ1c2VySWQiOiIzODk0MTY4NzcifQ==</vt:lpwstr>
  </property>
  <property fmtid="{D5CDD505-2E9C-101B-9397-08002B2CF9AE}" pid="4" name="ICV">
    <vt:lpwstr>891D95E820AF42BE8D408820BEFAA2D9_12</vt:lpwstr>
  </property>
</Properties>
</file>